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D82C" w14:textId="77777777" w:rsidR="00711A5A" w:rsidRPr="00311FB9" w:rsidRDefault="00711A5A" w:rsidP="00C16E1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6"/>
        <w:gridCol w:w="3201"/>
        <w:gridCol w:w="5683"/>
      </w:tblGrid>
      <w:tr w:rsidR="00711A5A" w:rsidRPr="00311FB9" w14:paraId="3B71D2FF" w14:textId="77777777" w:rsidTr="00102547">
        <w:trPr>
          <w:trHeight w:val="432"/>
        </w:trPr>
        <w:tc>
          <w:tcPr>
            <w:tcW w:w="93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3EB2B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>PROFILE</w:t>
            </w:r>
          </w:p>
        </w:tc>
      </w:tr>
      <w:tr w:rsidR="00711A5A" w:rsidRPr="00311FB9" w14:paraId="7F5D15BB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B85C94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C4485E" w14:textId="77777777" w:rsidR="00711A5A" w:rsidRPr="00311FB9" w:rsidRDefault="003F08B5" w:rsidP="00C16E11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NAME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193D9A" w14:textId="796F3E95" w:rsidR="00711A5A" w:rsidRPr="00311FB9" w:rsidRDefault="00D546F4" w:rsidP="00C16E1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Dr </w:t>
            </w:r>
            <w:r w:rsidR="0006747E" w:rsidRPr="00311FB9">
              <w:rPr>
                <w:rFonts w:asciiTheme="minorHAnsi" w:hAnsiTheme="minorHAnsi" w:cstheme="minorHAnsi"/>
                <w:sz w:val="20"/>
                <w:szCs w:val="20"/>
              </w:rPr>
              <w:t>June Choon Wai Yee</w:t>
            </w:r>
          </w:p>
        </w:tc>
      </w:tr>
      <w:tr w:rsidR="00711A5A" w:rsidRPr="00311FB9" w14:paraId="485300C7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7B081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B0B38" w14:textId="77777777" w:rsidR="00711A5A" w:rsidRPr="00311FB9" w:rsidRDefault="003F08B5" w:rsidP="00C16E11">
            <w:pPr>
              <w:pStyle w:val="TableParagraph"/>
              <w:spacing w:before="7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ACADEMIC</w:t>
            </w:r>
            <w:r w:rsidRPr="00311FB9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POSITION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4A52B1" w14:textId="7EEEF33B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LECTURER</w:t>
            </w:r>
          </w:p>
        </w:tc>
      </w:tr>
      <w:tr w:rsidR="00711A5A" w:rsidRPr="00311FB9" w14:paraId="0DDDCE68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51C024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4E37E" w14:textId="77777777" w:rsidR="00711A5A" w:rsidRPr="00311FB9" w:rsidRDefault="003F08B5" w:rsidP="00C16E11">
            <w:pPr>
              <w:pStyle w:val="TableParagraph"/>
              <w:spacing w:before="10"/>
              <w:ind w:left="3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STATUS OF APPOINTMENT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83E61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PERMANENT</w:t>
            </w:r>
          </w:p>
        </w:tc>
      </w:tr>
      <w:tr w:rsidR="00711A5A" w:rsidRPr="00311FB9" w14:paraId="101B24AB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423FB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25107F" w14:textId="77777777" w:rsidR="00711A5A" w:rsidRPr="00311FB9" w:rsidRDefault="003F08B5" w:rsidP="00C16E11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CITIZENSHIP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6E0CE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MALAYSIAN</w:t>
            </w:r>
          </w:p>
        </w:tc>
      </w:tr>
      <w:tr w:rsidR="00711A5A" w:rsidRPr="00311FB9" w14:paraId="2C5CFD3E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A61E6" w14:textId="77777777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6AB415" w14:textId="77777777" w:rsidR="00711A5A" w:rsidRPr="00311FB9" w:rsidRDefault="003F08B5" w:rsidP="00C16E11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EDUCATION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59B9EB" w14:textId="7AD9A522" w:rsidR="00711A5A" w:rsidRPr="00311FB9" w:rsidRDefault="003F08B5" w:rsidP="00C16E1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F84053" w:rsidRPr="00311FB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19C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32DFE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32DFE" w:rsidRPr="00311FB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AA780F">
              <w:rPr>
                <w:rFonts w:asciiTheme="minorHAnsi" w:hAnsiTheme="minorHAnsi" w:cstheme="minorHAnsi"/>
                <w:sz w:val="20"/>
                <w:szCs w:val="20"/>
              </w:rPr>
              <w:t>niversiti</w:t>
            </w:r>
            <w:proofErr w:type="spellEnd"/>
            <w:r w:rsidR="00AA780F">
              <w:rPr>
                <w:rFonts w:asciiTheme="minorHAnsi" w:hAnsiTheme="minorHAnsi" w:cstheme="minorHAnsi"/>
                <w:sz w:val="20"/>
                <w:szCs w:val="20"/>
              </w:rPr>
              <w:t xml:space="preserve"> Sains Malaysia</w:t>
            </w:r>
            <w:r w:rsidR="006919CC">
              <w:rPr>
                <w:rFonts w:asciiTheme="minorHAnsi" w:hAnsiTheme="minorHAnsi" w:cstheme="minorHAnsi"/>
                <w:sz w:val="20"/>
                <w:szCs w:val="20"/>
              </w:rPr>
              <w:t xml:space="preserve"> - 2012</w:t>
            </w:r>
          </w:p>
          <w:p w14:paraId="2927EBF6" w14:textId="3E2550AA" w:rsidR="00711A5A" w:rsidRPr="00311FB9" w:rsidRDefault="003F08B5" w:rsidP="00C16E11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Bachelor</w:t>
            </w:r>
            <w:r w:rsidRPr="00311FB9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of</w:t>
            </w:r>
            <w:r w:rsidRPr="00311FB9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0B2E12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Pharmacy (Hons) </w:t>
            </w:r>
            <w:r w:rsidR="00332DFE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–</w:t>
            </w:r>
            <w:r w:rsidR="000B2E12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A780F">
              <w:rPr>
                <w:rFonts w:asciiTheme="minorHAnsi" w:eastAsia="Times New Roman" w:hAnsiTheme="minorHAnsi" w:cstheme="minorHAnsi"/>
                <w:sz w:val="20"/>
                <w:szCs w:val="20"/>
              </w:rPr>
              <w:t>Universiti</w:t>
            </w:r>
            <w:proofErr w:type="spellEnd"/>
            <w:r w:rsidR="00AA780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Sains Malaysia 2006</w:t>
            </w:r>
          </w:p>
          <w:p w14:paraId="023E555A" w14:textId="738228C5" w:rsidR="002765DE" w:rsidRPr="00311FB9" w:rsidRDefault="002765DE" w:rsidP="00C16E11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1A5A" w:rsidRPr="00311FB9" w14:paraId="5A4EB3BF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6BF910" w14:textId="61AAD7AF" w:rsidR="00711A5A" w:rsidRPr="00311FB9" w:rsidRDefault="00B10344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3E9481" w14:textId="77777777" w:rsidR="00711A5A" w:rsidRPr="00311FB9" w:rsidRDefault="003F08B5" w:rsidP="00C16E11">
            <w:pPr>
              <w:pStyle w:val="TableParagraph"/>
              <w:spacing w:before="7"/>
              <w:ind w:left="33" w:right="1026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WORKING</w:t>
            </w:r>
            <w:r w:rsidRPr="00311FB9">
              <w:rPr>
                <w:rFonts w:asciiTheme="minorHAnsi" w:hAnsiTheme="minorHAnsi" w:cstheme="minorHAnsi"/>
                <w:b/>
                <w:spacing w:val="26"/>
                <w:sz w:val="20"/>
                <w:szCs w:val="20"/>
              </w:rPr>
              <w:t xml:space="preserve"> </w:t>
            </w: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EXPERIENCE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4239F" w14:textId="723349FC" w:rsidR="0081667A" w:rsidRPr="00311FB9" w:rsidRDefault="0081667A" w:rsidP="00C16E1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Scientific Advisor, Pharmaceutical Association of Malaysia (</w:t>
            </w:r>
            <w:proofErr w:type="spellStart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PhAMA</w:t>
            </w:r>
            <w:proofErr w:type="spellEnd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). January 2023 – </w:t>
            </w:r>
            <w:r w:rsidR="003D5944" w:rsidRPr="00311FB9">
              <w:rPr>
                <w:rFonts w:asciiTheme="minorHAnsi" w:hAnsiTheme="minorHAnsi" w:cstheme="minorHAnsi"/>
                <w:sz w:val="20"/>
                <w:szCs w:val="20"/>
              </w:rPr>
              <w:t>December 2023</w:t>
            </w: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375624" w14:textId="20169247" w:rsidR="0081667A" w:rsidRPr="00311FB9" w:rsidRDefault="0081667A" w:rsidP="00C16E1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Principal Science Officer, </w:t>
            </w:r>
            <w:proofErr w:type="spellStart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hEOR</w:t>
            </w:r>
            <w:proofErr w:type="spellEnd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(health Economics and Outcomes Research), Galen Centre for </w:t>
            </w:r>
          </w:p>
          <w:p w14:paraId="69F07293" w14:textId="77777777" w:rsidR="0081667A" w:rsidRPr="00311FB9" w:rsidRDefault="0081667A" w:rsidP="007D4B89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Health and Social Policy. Dec 2021 – Dec 2022 </w:t>
            </w:r>
          </w:p>
          <w:p w14:paraId="486866E4" w14:textId="0F65BA4F" w:rsidR="0081667A" w:rsidRPr="00311FB9" w:rsidRDefault="0081667A" w:rsidP="00C16E1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Lecturer, School of Pharmacy, Monash University Malaysia. Dec 2014 – 2021 </w:t>
            </w:r>
          </w:p>
          <w:p w14:paraId="68400B79" w14:textId="3C290CDE" w:rsidR="0081667A" w:rsidRPr="00311FB9" w:rsidRDefault="0081667A" w:rsidP="00C16E1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Senior Lecturer and Student Affairs Coordinator, School of Pharmacy, Taylor’s University, Lakeside </w:t>
            </w:r>
          </w:p>
          <w:p w14:paraId="7C050834" w14:textId="77777777" w:rsidR="0081667A" w:rsidRPr="00311FB9" w:rsidRDefault="0081667A" w:rsidP="00C16E11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Campus. Jan 2013 – Nov 2014 </w:t>
            </w:r>
          </w:p>
          <w:p w14:paraId="6818BEA1" w14:textId="3D3CDF1D" w:rsidR="0081667A" w:rsidRPr="00311FB9" w:rsidRDefault="0081667A" w:rsidP="00C16E1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Senior Researcher, School of Pharmacy and Pharmaceutical Sciences, </w:t>
            </w:r>
            <w:proofErr w:type="spellStart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Universiti</w:t>
            </w:r>
            <w:proofErr w:type="spellEnd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Sains Malaysia. </w:t>
            </w:r>
          </w:p>
          <w:p w14:paraId="18561D8D" w14:textId="77777777" w:rsidR="0081667A" w:rsidRPr="00311FB9" w:rsidRDefault="0081667A" w:rsidP="00C16E11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2008 - 2012 </w:t>
            </w:r>
          </w:p>
          <w:p w14:paraId="167BD5B3" w14:textId="77777777" w:rsidR="00102547" w:rsidRPr="00311FB9" w:rsidRDefault="0081667A" w:rsidP="00C16E1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Pharmacist, National Infectious Disease and Trauma Centre, Sungai Buloh Hospital. 2006 – 2007</w:t>
            </w:r>
          </w:p>
          <w:p w14:paraId="01093BFB" w14:textId="3F78EF3C" w:rsidR="002765DE" w:rsidRPr="00311FB9" w:rsidRDefault="002765DE" w:rsidP="00C16E11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A5A" w:rsidRPr="00311FB9" w14:paraId="758B4C45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527CA2" w14:textId="7E4926D0" w:rsidR="00711A5A" w:rsidRPr="00311FB9" w:rsidRDefault="00B10344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4146A" w14:textId="77777777" w:rsidR="00711A5A" w:rsidRPr="00311FB9" w:rsidRDefault="003F08B5" w:rsidP="00C16E11">
            <w:pPr>
              <w:pStyle w:val="TableParagraph"/>
              <w:spacing w:before="7"/>
              <w:ind w:left="33" w:right="6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CURRENT</w:t>
            </w: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ACADEMIC</w:t>
            </w:r>
            <w:r w:rsidRPr="00311FB9">
              <w:rPr>
                <w:rFonts w:asciiTheme="minorHAnsi" w:hAnsiTheme="minorHAnsi" w:cstheme="minorHAnsi"/>
                <w:b/>
                <w:spacing w:val="25"/>
                <w:sz w:val="20"/>
                <w:szCs w:val="20"/>
              </w:rPr>
              <w:t xml:space="preserve"> </w:t>
            </w: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RESPONSIBILITIES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AB9000" w14:textId="5A6C61A6" w:rsidR="007E4DF1" w:rsidRPr="00311FB9" w:rsidRDefault="00721D78" w:rsidP="00C16E11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spacing w:before="68" w:line="274" w:lineRule="exact"/>
              <w:ind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Resource Person </w:t>
            </w:r>
            <w:r w:rsidR="00C66F21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PHC672 Latihan </w:t>
            </w:r>
            <w:proofErr w:type="spellStart"/>
            <w:r w:rsidR="00C66F21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Industri</w:t>
            </w:r>
            <w:proofErr w:type="spellEnd"/>
          </w:p>
          <w:p w14:paraId="5D04583B" w14:textId="23B94390" w:rsidR="001036F6" w:rsidRDefault="003E24F4" w:rsidP="00C16E11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</w:tabs>
              <w:spacing w:before="68" w:line="274" w:lineRule="exact"/>
              <w:ind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PHD211: Semi Solid Dosage Form: </w:t>
            </w:r>
            <w:r w:rsidR="00405B22" w:rsidRP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>Program Diploma Farmasi (PH110)</w:t>
            </w:r>
            <w:r w:rsid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>Pemeriksa</w:t>
            </w:r>
            <w:proofErr w:type="spellEnd"/>
            <w:r w:rsid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>Kertas</w:t>
            </w:r>
            <w:proofErr w:type="spellEnd"/>
            <w:r w:rsid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>Peperiksaan</w:t>
            </w:r>
            <w:proofErr w:type="spellEnd"/>
            <w:r w:rsidR="00405B2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Akhir</w:t>
            </w:r>
          </w:p>
          <w:p w14:paraId="12EA3DF8" w14:textId="77777777" w:rsidR="00284593" w:rsidRDefault="00284593" w:rsidP="00C16E11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</w:tabs>
              <w:spacing w:before="68" w:line="274" w:lineRule="exact"/>
              <w:ind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PHC463 Fundamentals of Pharmaceutics</w:t>
            </w:r>
          </w:p>
          <w:p w14:paraId="72CA2718" w14:textId="51CDE8B7" w:rsidR="004C2A30" w:rsidRDefault="00284593" w:rsidP="00C16E11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</w:tabs>
              <w:spacing w:before="68" w:line="274" w:lineRule="exact"/>
              <w:ind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PHC</w:t>
            </w:r>
            <w:r w:rsidR="004C2A30">
              <w:rPr>
                <w:rFonts w:asciiTheme="minorHAnsi" w:eastAsia="Times New Roman" w:hAnsiTheme="minorHAnsi" w:cstheme="minorHAnsi"/>
                <w:sz w:val="20"/>
                <w:szCs w:val="20"/>
              </w:rPr>
              <w:t>663 Cosmetic</w:t>
            </w:r>
            <w:r w:rsidR="00DE0E2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Science</w:t>
            </w:r>
          </w:p>
          <w:p w14:paraId="13329B00" w14:textId="208FAD49" w:rsidR="004C2A30" w:rsidRDefault="004C2A30" w:rsidP="00C16E11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</w:tabs>
              <w:spacing w:before="68" w:line="274" w:lineRule="exact"/>
              <w:ind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PHP714 Pharmacoec</w:t>
            </w:r>
            <w:r w:rsidR="004F5579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nomics </w:t>
            </w:r>
          </w:p>
          <w:p w14:paraId="6930A7F5" w14:textId="77777777" w:rsidR="0082707B" w:rsidRDefault="0089626F" w:rsidP="00C16E11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</w:tabs>
              <w:spacing w:before="68" w:line="274" w:lineRule="exact"/>
              <w:ind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PHC</w:t>
            </w:r>
            <w:r w:rsidR="0082707B">
              <w:rPr>
                <w:rFonts w:asciiTheme="minorHAnsi" w:eastAsia="Times New Roman" w:hAnsiTheme="minorHAnsi" w:cstheme="minorHAnsi"/>
                <w:sz w:val="20"/>
                <w:szCs w:val="20"/>
              </w:rPr>
              <w:t>560 Nutraceuticals</w:t>
            </w:r>
          </w:p>
          <w:p w14:paraId="5E84EB00" w14:textId="5A9EB3F7" w:rsidR="00284593" w:rsidRPr="0082707B" w:rsidRDefault="00C227CD" w:rsidP="0082707B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</w:tabs>
              <w:spacing w:before="68" w:line="274" w:lineRule="exact"/>
              <w:ind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UiTM Research </w:t>
            </w:r>
            <w:r w:rsidR="00721D78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Ethics Committee</w:t>
            </w:r>
          </w:p>
          <w:p w14:paraId="790FFDDF" w14:textId="5A918AB0" w:rsidR="00926CAA" w:rsidRPr="00311FB9" w:rsidRDefault="00926CAA" w:rsidP="00284593">
            <w:pPr>
              <w:pStyle w:val="ListParagraph"/>
              <w:tabs>
                <w:tab w:val="left" w:pos="374"/>
              </w:tabs>
              <w:spacing w:before="68" w:line="274" w:lineRule="exact"/>
              <w:ind w:left="373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A5A" w:rsidRPr="00311FB9" w14:paraId="51EBAC6D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9E16F" w14:textId="0C341905" w:rsidR="00711A5A" w:rsidRPr="00311FB9" w:rsidRDefault="00B10344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4A4E98" w14:textId="77777777" w:rsidR="00711A5A" w:rsidRPr="00311FB9" w:rsidRDefault="003F08B5" w:rsidP="00C16E11">
            <w:pPr>
              <w:pStyle w:val="TableParagraph"/>
              <w:spacing w:before="10"/>
              <w:ind w:left="33" w:right="136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RESEARCH</w:t>
            </w:r>
            <w:r w:rsidRPr="00311FB9">
              <w:rPr>
                <w:rFonts w:asciiTheme="minorHAnsi" w:hAnsiTheme="minorHAnsi" w:cstheme="minorHAnsi"/>
                <w:b/>
                <w:spacing w:val="27"/>
                <w:sz w:val="20"/>
                <w:szCs w:val="20"/>
              </w:rPr>
              <w:t xml:space="preserve"> </w:t>
            </w: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INTERESTS/ </w:t>
            </w: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PROJECTS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B5ED05" w14:textId="2A6BEBD6" w:rsidR="00711A5A" w:rsidRPr="00311FB9" w:rsidRDefault="00FA5E88" w:rsidP="00C16E11">
            <w:pPr>
              <w:pStyle w:val="ListParagraph"/>
              <w:numPr>
                <w:ilvl w:val="0"/>
                <w:numId w:val="4"/>
              </w:numPr>
              <w:tabs>
                <w:tab w:val="left" w:pos="374"/>
              </w:tabs>
              <w:spacing w:before="68" w:line="274" w:lineRule="exact"/>
              <w:ind w:left="331" w:right="14" w:hanging="3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Financing of </w:t>
            </w:r>
            <w:r w:rsidR="004B0436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="009C496E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nnovative </w:t>
            </w:r>
            <w:r w:rsidR="004B0436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h</w:t>
            </w:r>
            <w:r w:rsidR="009C496E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ealth </w:t>
            </w:r>
            <w:r w:rsidR="004B0436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9C496E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echnologies </w:t>
            </w:r>
          </w:p>
          <w:p w14:paraId="1CA30A89" w14:textId="47E99240" w:rsidR="00711A5A" w:rsidRPr="00311FB9" w:rsidRDefault="00F20932" w:rsidP="00C16E11">
            <w:pPr>
              <w:pStyle w:val="ListParagraph"/>
              <w:numPr>
                <w:ilvl w:val="1"/>
                <w:numId w:val="3"/>
              </w:numPr>
              <w:tabs>
                <w:tab w:val="left" w:pos="374"/>
              </w:tabs>
              <w:spacing w:before="68" w:line="274" w:lineRule="exact"/>
              <w:ind w:left="331" w:right="14" w:hanging="3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Economic evaluation</w:t>
            </w:r>
            <w:r w:rsidR="004B0436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9C2D27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of</w:t>
            </w:r>
            <w:r w:rsidR="004B0436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health technologies and public health policies.</w:t>
            </w:r>
          </w:p>
          <w:p w14:paraId="02675CC2" w14:textId="06561BA3" w:rsidR="00F20932" w:rsidRPr="00311FB9" w:rsidRDefault="003902FC" w:rsidP="00C16E11">
            <w:pPr>
              <w:pStyle w:val="ListParagraph"/>
              <w:numPr>
                <w:ilvl w:val="1"/>
                <w:numId w:val="3"/>
              </w:numPr>
              <w:tabs>
                <w:tab w:val="left" w:pos="374"/>
              </w:tabs>
              <w:spacing w:before="68" w:line="274" w:lineRule="exact"/>
              <w:ind w:left="331" w:right="14" w:hanging="33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Generation and utilization of r</w:t>
            </w:r>
            <w:r w:rsidR="00F9368A"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>eal-world evidence</w:t>
            </w:r>
            <w:r w:rsidRPr="00311FB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economic studies.</w:t>
            </w:r>
          </w:p>
          <w:p w14:paraId="1D794F80" w14:textId="03C9E33C" w:rsidR="004B0436" w:rsidRPr="00311FB9" w:rsidRDefault="004B0436" w:rsidP="00C16E11">
            <w:pPr>
              <w:pStyle w:val="ListParagraph"/>
              <w:tabs>
                <w:tab w:val="left" w:pos="374"/>
              </w:tabs>
              <w:spacing w:before="68" w:line="274" w:lineRule="exact"/>
              <w:ind w:left="331" w:right="14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11A5A" w:rsidRPr="00311FB9" w14:paraId="667CE8A3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42C403" w14:textId="6EC1FEBC" w:rsidR="00711A5A" w:rsidRPr="00311FB9" w:rsidRDefault="00B10344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68EF0" w14:textId="77777777" w:rsidR="00711A5A" w:rsidRPr="00311FB9" w:rsidRDefault="003F08B5" w:rsidP="00C16E11">
            <w:pPr>
              <w:pStyle w:val="TableParagraph"/>
              <w:spacing w:before="10"/>
              <w:ind w:left="33" w:right="136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PUBLICATIONS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8683F4" w14:textId="0986631E" w:rsidR="00711A5A" w:rsidRPr="00311FB9" w:rsidRDefault="003F08B5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1FB9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</w:rPr>
              <w:t>Journal articles</w:t>
            </w:r>
            <w:r w:rsidR="005405DC" w:rsidRPr="00311FB9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(Indexed SCOPUS/</w:t>
            </w:r>
            <w:proofErr w:type="spellStart"/>
            <w:r w:rsidR="005405DC" w:rsidRPr="00311FB9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</w:rPr>
              <w:t>WoS</w:t>
            </w:r>
            <w:proofErr w:type="spellEnd"/>
            <w:r w:rsidR="005405DC" w:rsidRPr="00311FB9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  <w:r w:rsidRPr="00311FB9">
              <w:rPr>
                <w:rStyle w:val="Strong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: </w:t>
            </w:r>
          </w:p>
          <w:p w14:paraId="72C87D90" w14:textId="5A1A38AD" w:rsidR="009C7B59" w:rsidRPr="00311FB9" w:rsidRDefault="00C91FF8" w:rsidP="00C16E11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 xml:space="preserve">Budget Impact Analysis of Ferric </w:t>
            </w:r>
            <w:proofErr w:type="spellStart"/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Derisomaltose</w:t>
            </w:r>
            <w:proofErr w:type="spellEnd"/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for the Treatment of Iron-Deficiency in Malaysia</w:t>
            </w:r>
            <w:r w:rsidR="006F49F2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="006F49F2" w:rsidRPr="00311FB9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1317" w:rsidRPr="00311FB9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 xml:space="preserve">2023. </w:t>
            </w:r>
            <w:r w:rsidR="006F49F2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Malaysian Journal of Medicine and Health Sciences</w:t>
            </w:r>
            <w:r w:rsidR="00451317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="009C7B59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7B59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Chong, H.Y.; Choon, J.W.Y.; Ang, W.C.; Lee, K.K.C. </w:t>
            </w:r>
            <w:hyperlink r:id="rId6" w:history="1">
              <w:r w:rsidR="009C7B59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https://doi.org/10.47836/mjmhs.19.4.17</w:t>
              </w:r>
            </w:hyperlink>
          </w:p>
          <w:p w14:paraId="56103C31" w14:textId="7BFA72FE" w:rsidR="009C7B59" w:rsidRPr="00311FB9" w:rsidRDefault="009C7B59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2. </w:t>
            </w:r>
            <w:r w:rsidR="006D5FD9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Stakeholders’ Views on Patient Access Schemes in Malaysia. 2022. Value in Health Regional Issues</w:t>
            </w:r>
            <w:r w:rsidR="007C54CC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="007C54CC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C54CC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Thanimalai</w:t>
            </w:r>
            <w:proofErr w:type="spellEnd"/>
            <w:r w:rsidR="007C54CC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 S.; Choon, W.Y.; Lee, K.K.-C.</w:t>
            </w:r>
            <w:r w:rsidR="007C54CC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7C54CC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https://doi.org/10.1016/j.vhri.2022.02.003</w:t>
              </w:r>
            </w:hyperlink>
          </w:p>
          <w:p w14:paraId="032CE881" w14:textId="084E7B52" w:rsidR="007C54CC" w:rsidRPr="00311FB9" w:rsidRDefault="007C54CC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3. </w:t>
            </w:r>
            <w:r w:rsidR="003A4BB7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Stakeholder views of managed entry agreements: A literature review of national studies.</w:t>
            </w:r>
            <w:r w:rsidR="00576F92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6F92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Health Policy OPEN</w:t>
            </w:r>
            <w:r w:rsidR="00883A9E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2</w:t>
            </w:r>
            <w:r w:rsidR="00576F92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021.</w:t>
            </w:r>
            <w:r w:rsidR="005465AB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65AB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Thanimalai</w:t>
            </w:r>
            <w:proofErr w:type="spellEnd"/>
            <w:r w:rsidR="005465AB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 S.; Choon, W.Y.; Lee, K.K.-C.</w:t>
            </w:r>
            <w:r w:rsidR="00576F92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576F92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https://doi.org/10.1016/j.hpopen.2021.100032</w:t>
              </w:r>
            </w:hyperlink>
          </w:p>
          <w:p w14:paraId="124EE115" w14:textId="43A0EBF0" w:rsidR="005465AB" w:rsidRPr="00311FB9" w:rsidRDefault="005465AB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4. </w:t>
            </w:r>
            <w:r w:rsidR="0095005B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 Dual Policy an Overarching Strategy for Medicine Price Controls in Malaysia?</w:t>
            </w:r>
            <w:r w:rsidR="0095005B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005B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Asia Pacific Journal of Public Health</w:t>
            </w:r>
            <w:r w:rsidR="00883A9E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95005B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2020-05 |Wai Yee Choon; Kenneth Lee</w:t>
            </w:r>
            <w:r w:rsidR="00276EBE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hyperlink r:id="rId9" w:history="1">
              <w:r w:rsidR="00276EBE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https://doi.org/10.1177/1010539520920526</w:t>
              </w:r>
            </w:hyperlink>
          </w:p>
          <w:p w14:paraId="35D3D1B3" w14:textId="6D53ECBB" w:rsidR="00276EBE" w:rsidRPr="00311FB9" w:rsidRDefault="00276EBE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5. Real-world evidence of improved healthcare utilization in patients with schizophrenia or schizoaffective disorder after early treatment of paliperidone palmitate once-monthly treatment in Hong Kong.</w:t>
            </w:r>
            <w:r w:rsidR="00960DC4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0DC4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Journal of Medical Economics</w:t>
            </w:r>
            <w:r w:rsidR="00883A9E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960DC4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2019-03-04. June W. Y. Choon; David B. C. Wu; H. Y. Chong; William T. L. Lo; Catherine S. Y. Chong; W. S. Chung; Eileena M. C. Chui; Brian Tomlinson; Vivian W. Y. Lee; S. C. Lee et al.</w:t>
            </w:r>
            <w:r w:rsidR="00960DC4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960DC4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https://doi.org/10.1080/13696998.2018.1560749</w:t>
              </w:r>
            </w:hyperlink>
          </w:p>
          <w:p w14:paraId="4140209E" w14:textId="5797E92B" w:rsidR="00960DC4" w:rsidRPr="00311FB9" w:rsidRDefault="00945E05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6. Efficacy of oral mixed tocotrienols in diabetic peripheral neuropathy: A randomized clinical trial</w:t>
            </w:r>
            <w:r w:rsidR="006A2930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 JAMA Neurology</w:t>
            </w:r>
            <w:r w:rsidR="00317C6D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6A2930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2018. </w:t>
            </w:r>
            <w:proofErr w:type="spellStart"/>
            <w:r w:rsidR="006A2930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Hor</w:t>
            </w:r>
            <w:proofErr w:type="spellEnd"/>
            <w:r w:rsidR="006A2930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 C.P.; Fung, W.Y.; Ang, H.A.; Lim, S.C.; Kam, L.; Sim, S.-W.; Lim, L.H.; Choon, W.Y.; Wong, J.W.; Ch'ng, A.S.H. et al.</w:t>
            </w:r>
            <w:r w:rsidR="006A2930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="006A2930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https://doi.org/10.1001/jamaneurol.2017.4609</w:t>
              </w:r>
            </w:hyperlink>
          </w:p>
          <w:p w14:paraId="4A549232" w14:textId="3CCC90E5" w:rsidR="006A2930" w:rsidRPr="00311FB9" w:rsidRDefault="006A2930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7. </w:t>
            </w:r>
            <w:r w:rsidR="005C2843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Interpretation of laboratory data and general physical examination by pharmacists.</w:t>
            </w:r>
            <w:r w:rsidR="005C2843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843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Clinical Pharmacy Education, Practice and Research: Clinical Pharmacy, Drug Information, Pharmacovigilance, Pharmacoeconomics and Clinical Research</w:t>
            </w:r>
            <w:r w:rsidR="00317C6D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5C2843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2018.</w:t>
            </w:r>
            <w:r w:rsidR="00C9535A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535A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Zachariah, S.; Kumar, K.; Lee, S.W.H.; Choon, W.Y.; Naeem, S.; Leong, C.</w:t>
            </w:r>
            <w:r w:rsidR="00C9535A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535A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https://doi.org/10.1016/b978-0-12-814276-9.00007-6</w:t>
            </w:r>
          </w:p>
          <w:p w14:paraId="0397F076" w14:textId="47264811" w:rsidR="00576F92" w:rsidRPr="00311FB9" w:rsidRDefault="00497876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8. A Preliminary Analysis </w:t>
            </w:r>
            <w:proofErr w:type="gramStart"/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Of</w:t>
            </w:r>
            <w:proofErr w:type="gramEnd"/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Health Care Resource Utilization Of Paliperidone Palmitate In The Treatment Of Schizophrenia In The Public Health Care Sector Of Hong Kong.</w:t>
            </w: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Value in Health 2016-05.</w:t>
            </w:r>
            <w:r w:rsidR="009E742A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2A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WY Choon.</w:t>
            </w:r>
            <w:r w:rsidR="009E742A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2" w:history="1">
              <w:r w:rsidR="009E742A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https://doi.org/10.1016/j.jval.2016.03.1370</w:t>
              </w:r>
            </w:hyperlink>
          </w:p>
          <w:p w14:paraId="545582A0" w14:textId="05585C4B" w:rsidR="00EA21CC" w:rsidRPr="00311FB9" w:rsidRDefault="009E742A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 xml:space="preserve">9. </w:t>
            </w:r>
            <w:r w:rsidR="006F20F8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Use of generic medicines: Perspectives of consumers living in urban and suburban areas of Klang Valley in Malaysia.</w:t>
            </w:r>
            <w:r w:rsidR="006F20F8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21CC" w:rsidRPr="00311FB9">
              <w:rPr>
                <w:rFonts w:asciiTheme="minorHAnsi" w:hAnsiTheme="minorHAnsi" w:cstheme="minorHAnsi"/>
                <w:sz w:val="20"/>
                <w:szCs w:val="20"/>
              </w:rPr>
              <w:t>Journal of Medical Marketing</w:t>
            </w:r>
            <w:r w:rsidR="00317C6D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21CC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2013. </w:t>
            </w:r>
            <w:r w:rsidR="006F20F8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Ali, S.M.; Manan, M.M.; </w:t>
            </w:r>
            <w:proofErr w:type="spellStart"/>
            <w:r w:rsidR="006F20F8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Hassali</w:t>
            </w:r>
            <w:proofErr w:type="spellEnd"/>
            <w:r w:rsidR="006F20F8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 M.A.; Kassab, Y.W.; Yee, C.W.; Masri, M.B.</w:t>
            </w:r>
            <w:r w:rsidR="00EA21CC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3" w:history="1">
              <w:r w:rsidR="00EA21CC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https://doi.org/10.1177/1745790413516971</w:t>
              </w:r>
            </w:hyperlink>
          </w:p>
          <w:p w14:paraId="213E49B5" w14:textId="4B7B878A" w:rsidR="00C91FF8" w:rsidRPr="00311FB9" w:rsidRDefault="00EA21CC" w:rsidP="00C16E11">
            <w:pPr>
              <w:pStyle w:val="NormalWeb"/>
              <w:shd w:val="clear" w:color="auto" w:fill="FFFFFF"/>
              <w:spacing w:line="270" w:lineRule="atLeast"/>
              <w:textAlignment w:val="baseline"/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10. Harm reduction program and methadone poisoning: Implications for pediatric public health in Malaysia.</w:t>
            </w:r>
            <w:r w:rsidR="00DB5073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5073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Journal of Pharmacy Practice</w:t>
            </w:r>
            <w:r w:rsidR="00317C6D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DB5073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2000.</w:t>
            </w:r>
            <w:r w:rsidR="00DB5073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5073" w:rsidRPr="00311FB9">
              <w:rPr>
                <w:rStyle w:val="Strong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Babar, Z.-U.-D.; Nur Rashidah Mohd Zaini; Choon Wai Yee. </w:t>
            </w:r>
            <w:hyperlink r:id="rId14" w:history="1">
              <w:r w:rsidR="00DB5073" w:rsidRPr="00311F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https://doi.org/10.1177/0897190006295801</w:t>
              </w:r>
            </w:hyperlink>
          </w:p>
          <w:p w14:paraId="3DEB1507" w14:textId="77777777" w:rsidR="0046771A" w:rsidRPr="00311FB9" w:rsidRDefault="0046771A" w:rsidP="00C16E11">
            <w:pPr>
              <w:autoSpaceDE w:val="0"/>
              <w:autoSpaceDN w:val="0"/>
              <w:adjustRightInd w:val="0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311FB9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  <w:t>Conference Proceeding</w:t>
            </w:r>
          </w:p>
          <w:p w14:paraId="18EC5E7B" w14:textId="175CE6F2" w:rsidR="00CF5D2C" w:rsidRPr="00311FB9" w:rsidRDefault="008D79E4" w:rsidP="00C16E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Health care resource utilization analysis of Paliperidone Palmitate in the treatment of schizophrenia in the public healthcare sector of Hong Kong.</w:t>
            </w:r>
            <w:r w:rsidR="00065DA9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International Society for Pharmacoeconomics and Outcomes Research (ISPOR) at Washington 2016, Vienna 2016, and ISPOR Asia-Pacific Tokyo 2018. S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>upported</w:t>
            </w:r>
            <w:r w:rsidR="00065DA9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by Johnson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5DA9" w:rsidRPr="00311FB9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5DA9" w:rsidRPr="00311FB9">
              <w:rPr>
                <w:rFonts w:asciiTheme="minorHAnsi" w:hAnsiTheme="minorHAnsi" w:cstheme="minorHAnsi"/>
                <w:sz w:val="20"/>
                <w:szCs w:val="20"/>
              </w:rPr>
              <w:t>Johnson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(Hong Kong)</w:t>
            </w:r>
          </w:p>
          <w:p w14:paraId="672AB4DF" w14:textId="32A1E63A" w:rsidR="00065DA9" w:rsidRPr="00311FB9" w:rsidRDefault="00B90D1D" w:rsidP="00C16E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Cost-effectiveness of </w:t>
            </w:r>
            <w:proofErr w:type="spellStart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Edoxaban</w:t>
            </w:r>
            <w:proofErr w:type="spellEnd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in Patients with non- valvular atrial fibrillation and venous thromboembolism in Hong Kong.</w:t>
            </w:r>
            <w:r w:rsidR="006912EC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International Society </w:t>
            </w:r>
            <w:proofErr w:type="gramStart"/>
            <w:r w:rsidR="006912EC" w:rsidRPr="00311FB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gramEnd"/>
            <w:r w:rsidR="006912EC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Pharmacoeconomics and Outcomes Research (ISPOR) 20th Annual European Congress, Glasglow 2017.</w:t>
            </w:r>
            <w:r w:rsidR="00873107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Supported by 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>Daiichi-Sankyo (Hong Kong)</w:t>
            </w:r>
          </w:p>
          <w:p w14:paraId="13C2041C" w14:textId="22565193" w:rsidR="006912EC" w:rsidRPr="00311FB9" w:rsidRDefault="00771A91" w:rsidP="00C16E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An initial estimation of potential savings for schizophrenic patients receiving paliperidone palmitate 3-monthly injection in the public sector of Hong Kong. International Society </w:t>
            </w:r>
            <w:proofErr w:type="gramStart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gramEnd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Pharmacoeconomics and Outcomes Research (ISPOR) 20th Annual European Congress, Glasglow 2017.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Supported by Johnson &amp; Johnson (Hong Kong)</w:t>
            </w:r>
          </w:p>
          <w:p w14:paraId="06535055" w14:textId="77777777" w:rsidR="00873107" w:rsidRPr="00311FB9" w:rsidRDefault="00873107" w:rsidP="00C16E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Efficiency Drivers and Barriers Research in 3 ASEAN countries - Singapore, Malaysia and Indonesia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052CB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052CB" w:rsidRPr="00311FB9">
              <w:rPr>
                <w:rFonts w:asciiTheme="minorHAnsi" w:hAnsiTheme="minorHAnsi" w:cstheme="minorHAnsi"/>
                <w:sz w:val="20"/>
                <w:szCs w:val="20"/>
              </w:rPr>
              <w:t>nternational</w:t>
            </w:r>
            <w:proofErr w:type="spellEnd"/>
            <w:r w:rsidR="006052CB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Society for Pharmacoeconomics and Outcomes Research (ISPOR), New Orleans USA 2019. 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Supported by Pfizer</w:t>
            </w:r>
            <w:r w:rsidR="006052CB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Inc</w:t>
            </w:r>
            <w:r w:rsidR="0023242E"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(Global)</w:t>
            </w:r>
            <w:r w:rsidR="006052CB" w:rsidRPr="00311F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05277B" w14:textId="77777777" w:rsidR="006052CB" w:rsidRPr="00311FB9" w:rsidRDefault="000D03DC" w:rsidP="00C16E1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Cost comparison of </w:t>
            </w:r>
            <w:proofErr w:type="spellStart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Diamicron</w:t>
            </w:r>
            <w:proofErr w:type="spellEnd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MR and Generic Gliclazide in Preventing Renal Failure in Type 2 Diabetes Mellitus in the Public and Private Sector of Malaysia. International Society for Pharmacoeconomics and Outcomes Research (ISPOR), European Congress, 2019 Copenhagen, Denmark. Supported by </w:t>
            </w:r>
            <w:proofErr w:type="spellStart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>Servier</w:t>
            </w:r>
            <w:proofErr w:type="spellEnd"/>
            <w:r w:rsidRPr="00311FB9">
              <w:rPr>
                <w:rFonts w:asciiTheme="minorHAnsi" w:hAnsiTheme="minorHAnsi" w:cstheme="minorHAnsi"/>
                <w:sz w:val="20"/>
                <w:szCs w:val="20"/>
              </w:rPr>
              <w:t xml:space="preserve"> (Malaysia)</w:t>
            </w:r>
          </w:p>
          <w:p w14:paraId="1297D96D" w14:textId="356C9FE2" w:rsidR="00F34911" w:rsidRPr="00F34911" w:rsidRDefault="00F34911" w:rsidP="00F34911">
            <w:pPr>
              <w:autoSpaceDE w:val="0"/>
              <w:autoSpaceDN w:val="0"/>
              <w:adjustRightInd w:val="0"/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711A5A" w:rsidRPr="00311FB9" w14:paraId="70C0FDE0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F59E56" w14:textId="4684A979" w:rsidR="00711A5A" w:rsidRPr="00311FB9" w:rsidRDefault="003F08B5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 w:rsidR="00B10344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84360" w14:textId="77777777" w:rsidR="00711A5A" w:rsidRPr="00311FB9" w:rsidRDefault="003F08B5" w:rsidP="00C16E11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RESEARCH</w:t>
            </w: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GRANTS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CD9690" w14:textId="77777777" w:rsidR="00711A5A" w:rsidRPr="006D2F00" w:rsidRDefault="00711A5A" w:rsidP="00C16E11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5947F28B" w14:textId="09E9A5C8" w:rsidR="009C73BE" w:rsidRPr="006D2F00" w:rsidRDefault="009C73BE" w:rsidP="00C16E11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  <w:t>Principal Investigator</w:t>
            </w:r>
            <w:r w:rsidR="004A2963" w:rsidRPr="006D2F00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  <w:t>:</w:t>
            </w:r>
          </w:p>
          <w:p w14:paraId="30479FB2" w14:textId="22A5F61C" w:rsidR="00305766" w:rsidRPr="00384A9B" w:rsidRDefault="00384A9B" w:rsidP="00384A9B">
            <w:pPr>
              <w:pStyle w:val="TableParagraph"/>
              <w:numPr>
                <w:ilvl w:val="0"/>
                <w:numId w:val="11"/>
              </w:numPr>
              <w:spacing w:before="5"/>
              <w:ind w:righ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384A9B">
              <w:rPr>
                <w:rFonts w:asciiTheme="minorHAnsi" w:hAnsiTheme="minorHAnsi" w:cstheme="minorHAnsi"/>
                <w:sz w:val="20"/>
                <w:szCs w:val="20"/>
              </w:rPr>
              <w:t>Impact of E-labelling Implementation on Pharmaceuticals on the Public, Healthcare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4A9B">
              <w:rPr>
                <w:rFonts w:asciiTheme="minorHAnsi" w:hAnsiTheme="minorHAnsi" w:cstheme="minorHAnsi"/>
                <w:sz w:val="20"/>
                <w:szCs w:val="20"/>
              </w:rPr>
              <w:t>Professionals, and Industries</w:t>
            </w:r>
            <w:r w:rsidR="00FB1633" w:rsidRPr="00384A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625A0" w:rsidRPr="00384A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2B08DE" w14:textId="038C6233" w:rsidR="00FB1633" w:rsidRDefault="004A0D0B" w:rsidP="00305766">
            <w:pPr>
              <w:pStyle w:val="TableParagraph"/>
              <w:spacing w:before="5"/>
              <w:ind w:left="720" w:right="1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Collaboration with</w:t>
            </w:r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National Pharmaceutical Regulatory Agency (NPRA),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Perkhidmatan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Farmasi, </w:t>
            </w:r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Ministry </w:t>
            </w:r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of Health Malaysia, Pharmaceutical Association </w:t>
            </w:r>
            <w:proofErr w:type="gramStart"/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gramEnd"/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Malaysia</w:t>
            </w:r>
            <w:r w:rsidR="006D2F00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6D2F00" w:rsidRPr="006D2F00">
              <w:rPr>
                <w:rFonts w:asciiTheme="minorHAnsi" w:hAnsiTheme="minorHAnsi" w:cstheme="minorHAnsi"/>
                <w:sz w:val="20"/>
                <w:szCs w:val="20"/>
              </w:rPr>
              <w:t>PhAMA</w:t>
            </w:r>
            <w:proofErr w:type="spellEnd"/>
            <w:r w:rsidR="006D2F00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The Malaysian </w:t>
            </w:r>
            <w:proofErr w:type="spellStart"/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  <w:proofErr w:type="spellEnd"/>
            <w:r w:rsidR="009625A0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of Pharmaceutical Industries (MOPI) </w:t>
            </w:r>
            <w:r w:rsidR="006D2F00" w:rsidRPr="006D2F0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11FB9" w:rsidRPr="006D2F0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6D2F00" w:rsidRPr="006D2F00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</w:p>
          <w:p w14:paraId="3CB4716E" w14:textId="7CD9CCE7" w:rsidR="00305766" w:rsidRDefault="004A0D0B" w:rsidP="00305766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bCs/>
                <w:spacing w:val="-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spacing w:val="-1"/>
                <w:sz w:val="20"/>
                <w:szCs w:val="20"/>
              </w:rPr>
              <w:t xml:space="preserve">Amount: </w:t>
            </w:r>
            <w:r w:rsidR="00305766">
              <w:rPr>
                <w:rFonts w:asciiTheme="minorHAnsi" w:eastAsia="Times New Roman" w:hAnsiTheme="minorHAnsi" w:cstheme="minorHAnsi"/>
                <w:bCs/>
                <w:spacing w:val="-1"/>
                <w:sz w:val="20"/>
                <w:szCs w:val="20"/>
              </w:rPr>
              <w:t xml:space="preserve">RM21,000 </w:t>
            </w:r>
          </w:p>
          <w:p w14:paraId="0341B476" w14:textId="5EBB99F2" w:rsidR="004A0D0B" w:rsidRPr="004A0D0B" w:rsidRDefault="004A0D0B" w:rsidP="00305766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4A0D0B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Duration: 2024-2026</w:t>
            </w:r>
          </w:p>
          <w:p w14:paraId="50445420" w14:textId="77777777" w:rsidR="004A0D0B" w:rsidRDefault="004A0D0B" w:rsidP="00C16E11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</w:p>
          <w:p w14:paraId="618ABDD4" w14:textId="5E0DBE24" w:rsidR="0014705B" w:rsidRPr="006D2F00" w:rsidRDefault="0014705B" w:rsidP="00C16E11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  <w:t>Co-Investigator:</w:t>
            </w:r>
          </w:p>
          <w:p w14:paraId="441C9371" w14:textId="430C9EE0" w:rsidR="0014705B" w:rsidRPr="006D2F00" w:rsidRDefault="00AC25FC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Neuroprotection by Tocotrienols in Type 1 and Type 2 Diabetes Mellitus (VENUS).</w:t>
            </w:r>
            <w:r w:rsidR="007361BE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LRGS.</w:t>
            </w:r>
            <w:r w:rsidR="00C227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77A9" w:rsidRPr="006D2F00">
              <w:rPr>
                <w:rFonts w:asciiTheme="minorHAnsi" w:hAnsiTheme="minorHAnsi" w:cstheme="minorHAnsi"/>
                <w:sz w:val="20"/>
                <w:szCs w:val="20"/>
              </w:rPr>
              <w:t>The Performance Management and Delivery Unit (PEMANDU) &amp; the Malaysian Palm Oil Board</w:t>
            </w:r>
            <w:r w:rsidR="002B4FB9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E0BB5">
              <w:rPr>
                <w:rFonts w:asciiTheme="minorHAnsi" w:hAnsiTheme="minorHAnsi" w:cstheme="minorHAnsi"/>
                <w:sz w:val="20"/>
                <w:szCs w:val="20"/>
              </w:rPr>
              <w:t xml:space="preserve">RM3,000,000 </w:t>
            </w:r>
            <w:r w:rsidR="002B4FB9" w:rsidRPr="006D2F00">
              <w:rPr>
                <w:rFonts w:asciiTheme="minorHAnsi" w:hAnsiTheme="minorHAnsi" w:cstheme="minorHAnsi"/>
                <w:sz w:val="20"/>
                <w:szCs w:val="20"/>
              </w:rPr>
              <w:t>(2011-2018).</w:t>
            </w:r>
          </w:p>
          <w:p w14:paraId="5C4CB600" w14:textId="50DCFF23" w:rsidR="007361BE" w:rsidRPr="006D2F00" w:rsidRDefault="004277A9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Health care resource utilization analysis of Paliperidone Palmitate in the treatment of schizophrenia in the public healthcare sector of Hong Kong.</w:t>
            </w:r>
            <w:r w:rsidR="002B4FB9"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Janssen, a division of Johnson &amp; Johnson (HK) Ltd. HKD 395,000. (2014)</w:t>
            </w:r>
          </w:p>
          <w:p w14:paraId="1D9813B2" w14:textId="2E07F2F5" w:rsidR="002B4FB9" w:rsidRPr="006D2F00" w:rsidRDefault="005D4BEB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The analysis of Health Economics data for Dapagliflozin in Hong Kong. AstraZeneca Hong Kong </w:t>
            </w:r>
            <w:proofErr w:type="gram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Ltd .</w:t>
            </w:r>
            <w:proofErr w:type="gramEnd"/>
            <w:r w:rsidR="00FE0BB5">
              <w:rPr>
                <w:rFonts w:asciiTheme="minorHAnsi" w:hAnsiTheme="minorHAnsi" w:cstheme="minorHAnsi"/>
                <w:sz w:val="20"/>
                <w:szCs w:val="20"/>
              </w:rPr>
              <w:t xml:space="preserve"> RM260,000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(2014)</w:t>
            </w:r>
          </w:p>
          <w:p w14:paraId="49256CA0" w14:textId="23163F14" w:rsidR="005D4BEB" w:rsidRPr="006D2F00" w:rsidRDefault="00105872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Dapagliflozin budget impact analysis model and final budget impact analysis report. AstraZeneca</w:t>
            </w:r>
            <w:r w:rsidR="00FE0BB5">
              <w:rPr>
                <w:rFonts w:asciiTheme="minorHAnsi" w:hAnsiTheme="minorHAnsi" w:cstheme="minorHAnsi"/>
                <w:sz w:val="20"/>
                <w:szCs w:val="20"/>
              </w:rPr>
              <w:t>. RM46,</w:t>
            </w:r>
            <w:r w:rsidR="00404563">
              <w:rPr>
                <w:rFonts w:asciiTheme="minorHAnsi" w:hAnsiTheme="minorHAnsi" w:cstheme="minorHAnsi"/>
                <w:sz w:val="20"/>
                <w:szCs w:val="20"/>
              </w:rPr>
              <w:t>948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(Malaysia) (2016)</w:t>
            </w:r>
          </w:p>
          <w:p w14:paraId="17FF1743" w14:textId="0529A2AD" w:rsidR="00105872" w:rsidRPr="006D2F00" w:rsidRDefault="00105872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Budget impact of </w:t>
            </w:r>
            <w:proofErr w:type="spell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Secukinumab</w:t>
            </w:r>
            <w:proofErr w:type="spellEnd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in psoriasis, psoriatic arthritis and ankylosing spondylitis in the public sector of Malaysia. </w:t>
            </w:r>
            <w:r w:rsidR="00404563">
              <w:rPr>
                <w:rFonts w:asciiTheme="minorHAnsi" w:hAnsiTheme="minorHAnsi" w:cstheme="minorHAnsi"/>
                <w:sz w:val="20"/>
                <w:szCs w:val="20"/>
              </w:rPr>
              <w:t>Novartis. RM120,000. (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  <w:r w:rsidR="0040456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B96B73" w14:textId="08DA4317" w:rsidR="00105872" w:rsidRPr="006D2F00" w:rsidRDefault="008C6AB7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Cost-effectiveness of </w:t>
            </w:r>
            <w:proofErr w:type="spell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Edoxaban</w:t>
            </w:r>
            <w:proofErr w:type="spellEnd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in Patients with non- valvular atrial fibrillation and venous thromboembolism in Hong Kong. Daiichi-Sankyo (Hong Kong)</w:t>
            </w:r>
            <w:r w:rsidR="00404563">
              <w:rPr>
                <w:rFonts w:asciiTheme="minorHAnsi" w:hAnsiTheme="minorHAnsi" w:cstheme="minorHAnsi"/>
                <w:sz w:val="20"/>
                <w:szCs w:val="20"/>
              </w:rPr>
              <w:t>. HKD240,000</w:t>
            </w:r>
            <w:r w:rsidR="00F9520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(2016)</w:t>
            </w:r>
          </w:p>
          <w:p w14:paraId="63CEA831" w14:textId="5AB375D0" w:rsidR="008C6AB7" w:rsidRPr="006D2F00" w:rsidRDefault="003E44F5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An initial estimation of potential savings for schizophrenic patients receiving paliperidone palmitate 3-monthly injection in the public sector of Hong Kong. Johnson &amp; Johnson (Hong Kong) </w:t>
            </w:r>
            <w:r w:rsidR="00F9520B">
              <w:rPr>
                <w:rFonts w:asciiTheme="minorHAnsi" w:hAnsiTheme="minorHAnsi" w:cstheme="minorHAnsi"/>
                <w:sz w:val="20"/>
                <w:szCs w:val="20"/>
              </w:rPr>
              <w:t xml:space="preserve">HKD80,000.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(2017)</w:t>
            </w:r>
          </w:p>
          <w:p w14:paraId="6530962C" w14:textId="17803DE9" w:rsidR="003E44F5" w:rsidRPr="006D2F00" w:rsidRDefault="003E44F5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Efficiency Drivers and Barriers Research in 3 ASEAN countries - Singapore, Malaysia and Indonesia Pfizer Inc, Global</w:t>
            </w:r>
            <w:r w:rsidR="00F9520B">
              <w:rPr>
                <w:rFonts w:asciiTheme="minorHAnsi" w:hAnsiTheme="minorHAnsi" w:cstheme="minorHAnsi"/>
                <w:sz w:val="20"/>
                <w:szCs w:val="20"/>
              </w:rPr>
              <w:t>. USD40,000.</w:t>
            </w:r>
            <w:r w:rsidR="008A72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(2018)</w:t>
            </w:r>
          </w:p>
          <w:p w14:paraId="5DF21804" w14:textId="3FBC4CC9" w:rsidR="003E44F5" w:rsidRPr="006D2F00" w:rsidRDefault="004726A5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Cost comparison of </w:t>
            </w:r>
            <w:proofErr w:type="spell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Diamicron</w:t>
            </w:r>
            <w:proofErr w:type="spellEnd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MR and Generic Gliclazide in Preventing Renal Failure in Type 2 Diabetes Mellitus in the Public and Private Sector of Malaysia. </w:t>
            </w:r>
            <w:proofErr w:type="spell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Servier</w:t>
            </w:r>
            <w:proofErr w:type="spellEnd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(Mala</w:t>
            </w:r>
            <w:r w:rsidR="008A72F9">
              <w:rPr>
                <w:rFonts w:asciiTheme="minorHAnsi" w:hAnsiTheme="minorHAnsi" w:cstheme="minorHAnsi"/>
                <w:sz w:val="20"/>
                <w:szCs w:val="20"/>
              </w:rPr>
              <w:t>ysia)</w:t>
            </w:r>
            <w:r w:rsidR="00F9520B">
              <w:rPr>
                <w:rFonts w:asciiTheme="minorHAnsi" w:hAnsiTheme="minorHAnsi" w:cstheme="minorHAnsi"/>
                <w:sz w:val="20"/>
                <w:szCs w:val="20"/>
              </w:rPr>
              <w:t xml:space="preserve"> RM80,000.</w:t>
            </w:r>
            <w:r w:rsidR="008A72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(2018)</w:t>
            </w:r>
          </w:p>
          <w:p w14:paraId="7C1FEC86" w14:textId="03C7BD64" w:rsidR="004726A5" w:rsidRPr="006D2F00" w:rsidRDefault="000635AC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Cost-effectiveness and Budget Impact Analysis on Non- Valvular Atrial Fibrillation Screening</w:t>
            </w:r>
            <w:r w:rsidR="008A7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Pfizer (Malaysia) </w:t>
            </w:r>
            <w:r w:rsidR="00F9520B">
              <w:rPr>
                <w:rFonts w:asciiTheme="minorHAnsi" w:hAnsiTheme="minorHAnsi" w:cstheme="minorHAnsi"/>
                <w:sz w:val="20"/>
                <w:szCs w:val="20"/>
              </w:rPr>
              <w:t>RM</w:t>
            </w:r>
            <w:r w:rsidR="007D160B">
              <w:rPr>
                <w:rFonts w:asciiTheme="minorHAnsi" w:hAnsiTheme="minorHAnsi" w:cstheme="minorHAnsi"/>
                <w:sz w:val="20"/>
                <w:szCs w:val="20"/>
              </w:rPr>
              <w:t xml:space="preserve">70,000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(2020)</w:t>
            </w:r>
          </w:p>
          <w:p w14:paraId="20804CA3" w14:textId="3FBE8E57" w:rsidR="000635AC" w:rsidRPr="006D2F00" w:rsidRDefault="00153C21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Monash-Novartis HEOR Workshop for the Ministry of Novartis (Malaysia)</w:t>
            </w:r>
            <w:r w:rsidR="007D160B">
              <w:rPr>
                <w:rFonts w:asciiTheme="minorHAnsi" w:hAnsiTheme="minorHAnsi" w:cstheme="minorHAnsi"/>
                <w:sz w:val="20"/>
                <w:szCs w:val="20"/>
              </w:rPr>
              <w:t xml:space="preserve">RM70,000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(2020)</w:t>
            </w:r>
          </w:p>
          <w:p w14:paraId="27720BAC" w14:textId="6487EAF1" w:rsidR="00153C21" w:rsidRPr="006D2F00" w:rsidRDefault="00FD02BC" w:rsidP="00C16E11">
            <w:pPr>
              <w:pStyle w:val="TableParagraph"/>
              <w:numPr>
                <w:ilvl w:val="0"/>
                <w:numId w:val="12"/>
              </w:numPr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Budget Impact Analysis of </w:t>
            </w:r>
            <w:proofErr w:type="spell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Adcetris</w:t>
            </w:r>
            <w:proofErr w:type="spellEnd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. Takeda (Malaysia) </w:t>
            </w:r>
            <w:r w:rsidR="007D160B">
              <w:rPr>
                <w:rFonts w:asciiTheme="minorHAnsi" w:hAnsiTheme="minorHAnsi" w:cstheme="minorHAnsi"/>
                <w:sz w:val="20"/>
                <w:szCs w:val="20"/>
              </w:rPr>
              <w:t>RM</w:t>
            </w:r>
            <w:r w:rsidR="002278D5">
              <w:rPr>
                <w:rFonts w:asciiTheme="minorHAnsi" w:hAnsiTheme="minorHAnsi" w:cstheme="minorHAnsi"/>
                <w:sz w:val="20"/>
                <w:szCs w:val="20"/>
              </w:rPr>
              <w:t xml:space="preserve">55,000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(2021).</w:t>
            </w:r>
          </w:p>
          <w:p w14:paraId="16485A68" w14:textId="438CE3C6" w:rsidR="00950AE0" w:rsidRPr="006D2F00" w:rsidRDefault="00950AE0" w:rsidP="00C16E11">
            <w:pPr>
              <w:pStyle w:val="TableContents"/>
              <w:spacing w:after="283"/>
              <w:ind w:left="7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5AB" w:rsidRPr="00311FB9" w14:paraId="16263F06" w14:textId="77777777" w:rsidTr="005D2EC0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A770D" w14:textId="3C89D058" w:rsidR="005C65AB" w:rsidRPr="00311FB9" w:rsidRDefault="005C65AB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 w:rsidR="001D057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5F86D" w14:textId="05905919" w:rsidR="005C65AB" w:rsidRPr="00311FB9" w:rsidRDefault="00805A23" w:rsidP="00C16E11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AWARDS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84B1D" w14:textId="0D0B82D0" w:rsidR="005C65AB" w:rsidRPr="006D2F00" w:rsidRDefault="00805A23" w:rsidP="00C16E11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N/A</w:t>
            </w:r>
          </w:p>
        </w:tc>
      </w:tr>
      <w:tr w:rsidR="002C789A" w:rsidRPr="00311FB9" w14:paraId="3CEAB4F3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ABA65" w14:textId="7B37B140" w:rsidR="002C789A" w:rsidRPr="00311FB9" w:rsidRDefault="005C65AB" w:rsidP="00C16E1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7273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1A3309" w14:textId="77777777" w:rsidR="00DB0767" w:rsidRPr="00DB0767" w:rsidRDefault="00DB0767" w:rsidP="00DB0767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DB076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INVOLVEMENT IN</w:t>
            </w:r>
          </w:p>
          <w:p w14:paraId="4724B6E3" w14:textId="77777777" w:rsidR="00DB0767" w:rsidRPr="00DB0767" w:rsidRDefault="00DB0767" w:rsidP="00DB0767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DB076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PROFESSIONAL</w:t>
            </w:r>
          </w:p>
          <w:p w14:paraId="472D8829" w14:textId="6688FB67" w:rsidR="002C789A" w:rsidRPr="00311FB9" w:rsidRDefault="00DB0767" w:rsidP="00DB0767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DB076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lastRenderedPageBreak/>
              <w:t>ORGANISATIONS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04FEA" w14:textId="2135FC13" w:rsidR="007D72C3" w:rsidRDefault="007D72C3" w:rsidP="00C16E11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lastRenderedPageBreak/>
              <w:t xml:space="preserve">Member, </w:t>
            </w:r>
            <w:r w:rsidRPr="007D72C3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International Society of Pharmacoeconomics and Outcomes Research (ISPOR)</w:t>
            </w:r>
            <w:r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(2014 – current)</w:t>
            </w:r>
          </w:p>
          <w:p w14:paraId="38CD7412" w14:textId="4A270E5E" w:rsidR="00035A84" w:rsidRPr="006D2F00" w:rsidRDefault="00035A84" w:rsidP="007D72C3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</w:tc>
      </w:tr>
      <w:tr w:rsidR="00D6486C" w:rsidRPr="00311FB9" w14:paraId="6C240D26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B1090E" w14:textId="7CF99A00" w:rsidR="00D6486C" w:rsidRPr="00311FB9" w:rsidRDefault="00D6486C" w:rsidP="00D648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918B8" w14:textId="77777777" w:rsidR="00D6486C" w:rsidRPr="00C20736" w:rsidRDefault="00D6486C" w:rsidP="00D6486C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2073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PARTICIPATION IN</w:t>
            </w:r>
          </w:p>
          <w:p w14:paraId="5D2641C1" w14:textId="77777777" w:rsidR="00D6486C" w:rsidRPr="00C20736" w:rsidRDefault="00D6486C" w:rsidP="00D6486C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2073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CONTINUING</w:t>
            </w:r>
          </w:p>
          <w:p w14:paraId="6AB5499B" w14:textId="1FB56D12" w:rsidR="00D6486C" w:rsidRPr="00311FB9" w:rsidRDefault="00D6486C" w:rsidP="00D6486C">
            <w:pPr>
              <w:pStyle w:val="TableParagraph"/>
              <w:spacing w:before="10"/>
              <w:ind w:left="33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2073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EDUCATION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4D53E5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Member,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Jawatankuasa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Penyelidikan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Kajian </w:t>
            </w:r>
          </w:p>
          <w:p w14:paraId="4E9841B2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Klinikal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Kebangsaan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(JPKKK</w:t>
            </w:r>
            <w:proofErr w:type="gram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)(</w:t>
            </w:r>
            <w:proofErr w:type="gram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2023</w:t>
            </w:r>
            <w:r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)</w:t>
            </w:r>
          </w:p>
          <w:p w14:paraId="421D2AC5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73FEB0FD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Member,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Jawatankuasa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Pemandu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Dasar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Ubat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0CD8C98F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Nasional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Penggal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Ke-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empat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DUNas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73B918EF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(2022-2026) Kementerian Kesihatan </w:t>
            </w:r>
          </w:p>
          <w:p w14:paraId="1EFE8C8D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Malaysia)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(2023)</w:t>
            </w:r>
          </w:p>
          <w:p w14:paraId="2662BD4A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47EF9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Member,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Jawatankuasa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Pemandu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Pengurusan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0887EE0D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Pelupusan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Ubat-ubatan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di Malaysia, </w:t>
            </w:r>
          </w:p>
          <w:p w14:paraId="61C42929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Kementerian Kesihatan Malaysia (2023)</w:t>
            </w:r>
          </w:p>
          <w:p w14:paraId="3D6BEBD4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7042E700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Health White Paper Engagement with </w:t>
            </w:r>
          </w:p>
          <w:p w14:paraId="51A4D3AD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the Economic Planning Unit, Ministry of Health (MOH), Pharmaceutical Association of Malaysia (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PhAMA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), </w:t>
            </w:r>
          </w:p>
          <w:p w14:paraId="3B59643F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Association of Malaysian Medical Industries (AMMI), Malaysian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Organisation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of Pharmaceutical Industries (MOPI) and Malaysian Association of Pharmaceutical Suppliers (MAPS) and Malaysia Medical Device </w:t>
            </w:r>
          </w:p>
          <w:p w14:paraId="6F679AE7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Association (MMDA). 2022</w:t>
            </w:r>
          </w:p>
          <w:p w14:paraId="74AE7DD6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651E6690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Real-World Evidence in Leveraging Therapeutic Outcomes. 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Co-chair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2020. Supported by Novartis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518AD6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05481C7F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Real-World Evidence in Regulatory Decision-making. 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Speaker.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Supported by Novartis Malaysia. September 2021</w:t>
            </w:r>
          </w:p>
          <w:p w14:paraId="3A79E511" w14:textId="77777777" w:rsidR="00D6486C" w:rsidRPr="006D2F00" w:rsidRDefault="00D6486C" w:rsidP="00D6486C">
            <w:pPr>
              <w:pStyle w:val="ListParagraph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7155881A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Virtual Symposium: Elements of Value based Decision-making in Health care. Supported by Novartis Malaysia. </w:t>
            </w:r>
            <w:proofErr w:type="spellStart"/>
            <w:r w:rsidRPr="0092145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Programme</w:t>
            </w:r>
            <w:proofErr w:type="spellEnd"/>
            <w:r w:rsidRPr="0092145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Chair and Speaker.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September 2021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533FDC" w14:textId="77777777" w:rsidR="00D6486C" w:rsidRPr="006D2F00" w:rsidRDefault="00D6486C" w:rsidP="00D6486C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  <w:p w14:paraId="09C5C2DA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Novartis </w:t>
            </w: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Advisory Board Member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2.0: CVD state, </w:t>
            </w:r>
          </w:p>
          <w:p w14:paraId="02D0D647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challenges, unmet needs and potential </w:t>
            </w:r>
          </w:p>
          <w:p w14:paraId="20B9144C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solutions for Malaysia.  </w:t>
            </w:r>
            <w:r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2019</w:t>
            </w:r>
          </w:p>
          <w:p w14:paraId="774C6B6B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49C1E779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Novartis </w:t>
            </w: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Advisory Board Member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: Breast cancer in Malaysia (2019)</w:t>
            </w:r>
          </w:p>
          <w:p w14:paraId="2ED9F3AF" w14:textId="77777777" w:rsidR="00D6486C" w:rsidRPr="006D2F00" w:rsidRDefault="00D6486C" w:rsidP="00D6486C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7A665B89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Scientific Advisor,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Clinical Research Committee, </w:t>
            </w:r>
          </w:p>
          <w:p w14:paraId="43D2843D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Pharmaceutical Association of Malaysia </w:t>
            </w:r>
          </w:p>
          <w:p w14:paraId="7E280088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(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PhAMA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(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2023)</w:t>
            </w:r>
          </w:p>
          <w:p w14:paraId="5FA96295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0037CDAB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Market Access and Procurement Committee, Pharmaceutical Association of Malaysia (</w:t>
            </w:r>
            <w:proofErr w:type="spell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PhAMA</w:t>
            </w:r>
            <w:proofErr w:type="spellEnd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Scientific Advisor.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2023.</w:t>
            </w:r>
          </w:p>
          <w:p w14:paraId="77D9BCEF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77321648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Workshop for the Ministry of Health on </w:t>
            </w:r>
          </w:p>
          <w:p w14:paraId="578DC150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Rare Disease: From Health Economics </w:t>
            </w:r>
          </w:p>
          <w:p w14:paraId="743E0F53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Evaluation Perspective – </w:t>
            </w: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Chair &amp; Moderator</w:t>
            </w:r>
          </w:p>
          <w:p w14:paraId="0BDEC743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lastRenderedPageBreak/>
              <w:t>(Supported by Boehringer-Ingelheim)</w:t>
            </w:r>
          </w:p>
          <w:p w14:paraId="7C8EFC39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146F2154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Asia-Pacific Economic Cooperation (APEC) Healthcare Financing Forum: Enhancing innovative healthcare financing, in the pursuit of sustainable healthcare. 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Moderator.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September 2022. Supported by APEC. </w:t>
            </w:r>
          </w:p>
          <w:p w14:paraId="065E487E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6A0FCD5B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Annual Monash-Pharmaceutical Association of Malaysia HTA Workshop for the Pharmaceutical Industry. 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Speaker.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2015-2021. Supported by </w:t>
            </w:r>
            <w:proofErr w:type="spellStart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PhAMA</w:t>
            </w:r>
            <w:proofErr w:type="spellEnd"/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B46161D" w14:textId="77777777" w:rsidR="00D6486C" w:rsidRPr="006D2F00" w:rsidRDefault="00D6486C" w:rsidP="00D6486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CB529E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Health Economics for Healthcare Professionals. Supported by Novartis (Oncology). 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Chair.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21 May 2022</w:t>
            </w:r>
          </w:p>
          <w:p w14:paraId="752D4971" w14:textId="77777777" w:rsidR="00D6486C" w:rsidRPr="006D2F00" w:rsidRDefault="00D6486C" w:rsidP="00D6486C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65677048" w14:textId="77777777" w:rsidR="00D6486C" w:rsidRPr="00A60BFF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International Society for Pharmacoeconomics and Outcomes Research (ISPOR) Monash University Student Chapter</w:t>
            </w: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, Advisor,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2018-2021</w:t>
            </w:r>
          </w:p>
          <w:p w14:paraId="4C4B5A4A" w14:textId="77777777" w:rsidR="00D6486C" w:rsidRPr="00A60BFF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01D3A473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3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vertAlign w:val="superscript"/>
              </w:rPr>
              <w:t>rd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- 6th Health Economics Forum 2022, November 2022, co-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organised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with Ministry of Health Malaysia and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PhAMA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. Supported by Johnson &amp; Johnson,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Zuellig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Pharma, IQVIA, AstraZeneca, MSD, Novartis, Boehringer-Ingelheim, and </w:t>
            </w:r>
            <w:proofErr w:type="spellStart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Servier</w:t>
            </w:r>
            <w:proofErr w:type="spellEnd"/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: </w:t>
            </w: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>Co-chair (2015 – 2022)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br/>
            </w:r>
          </w:p>
          <w:p w14:paraId="2F5881E8" w14:textId="77777777" w:rsidR="00D6486C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7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vertAlign w:val="superscript"/>
              </w:rPr>
              <w:t>th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Health Economics Forum 2024: </w:t>
            </w:r>
            <w:r w:rsidRPr="006D2F00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Co-chair </w:t>
            </w:r>
            <w:r w:rsidRPr="006D2F00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(2024)</w:t>
            </w:r>
          </w:p>
          <w:p w14:paraId="717C689D" w14:textId="77777777" w:rsidR="00D6486C" w:rsidRPr="006D2F00" w:rsidRDefault="00D6486C" w:rsidP="00D6486C">
            <w:pPr>
              <w:pStyle w:val="TableParagraph"/>
              <w:spacing w:before="5"/>
              <w:ind w:left="720"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4CC63CE1" w14:textId="77777777" w:rsidR="00D6486C" w:rsidRPr="00A60BFF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Member,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 xml:space="preserve"> Pharmacy Academics Task Force (Malaysian Pharmaceutical Society) Member 2015 – 2017</w:t>
            </w:r>
          </w:p>
          <w:p w14:paraId="6C1A68AA" w14:textId="77777777" w:rsidR="00D6486C" w:rsidRPr="006D2F00" w:rsidRDefault="00D6486C" w:rsidP="00D6486C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4C2E354C" w14:textId="77777777" w:rsidR="00D6486C" w:rsidRPr="006D2F00" w:rsidRDefault="00D6486C" w:rsidP="00D6486C">
            <w:pPr>
              <w:pStyle w:val="TableParagraph"/>
              <w:numPr>
                <w:ilvl w:val="0"/>
                <w:numId w:val="8"/>
              </w:numPr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  <w:r w:rsidRPr="006D2F0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Member</w:t>
            </w:r>
            <w:r w:rsidRPr="006D2F00">
              <w:rPr>
                <w:rFonts w:asciiTheme="minorHAnsi" w:hAnsiTheme="minorHAnsi" w:cstheme="minorHAnsi"/>
                <w:sz w:val="20"/>
                <w:szCs w:val="20"/>
              </w:rPr>
              <w:t>, Joint Human Ethics Committee of School of Pharmaceutical Sciences, USM-Hospital Lam Wah Ee on Clinical Studies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(2007-2009)</w:t>
            </w:r>
          </w:p>
          <w:p w14:paraId="23BF820C" w14:textId="77777777" w:rsidR="00D6486C" w:rsidRPr="006D2F00" w:rsidRDefault="00D6486C" w:rsidP="00D6486C">
            <w:pPr>
              <w:pStyle w:val="TableParagraph"/>
              <w:spacing w:before="5"/>
              <w:ind w:right="11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</w:pPr>
          </w:p>
          <w:p w14:paraId="47D5B240" w14:textId="50B90944" w:rsidR="00D6486C" w:rsidRPr="00311FB9" w:rsidRDefault="00D6486C" w:rsidP="00D6486C">
            <w:pPr>
              <w:pStyle w:val="TableParagraph"/>
              <w:spacing w:before="5"/>
              <w:ind w:right="11"/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D6486C" w:rsidRPr="00311FB9" w14:paraId="1F27B545" w14:textId="77777777" w:rsidTr="00102547">
        <w:trPr>
          <w:trHeight w:val="432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DA72F2" w14:textId="786AEBA8" w:rsidR="00D6486C" w:rsidRPr="00311FB9" w:rsidRDefault="00D6486C" w:rsidP="00D648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78A293" w14:textId="5FF457B5" w:rsidR="00D6486C" w:rsidRPr="00311FB9" w:rsidRDefault="00D6486C" w:rsidP="00D6486C">
            <w:pPr>
              <w:pStyle w:val="TableParagraph"/>
              <w:spacing w:before="10"/>
              <w:ind w:left="33" w:right="324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11FB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COMMUNITY SERVICE</w:t>
            </w:r>
          </w:p>
        </w:tc>
        <w:tc>
          <w:tcPr>
            <w:tcW w:w="5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A7C" w14:textId="22E3E9CE" w:rsidR="00D6486C" w:rsidRPr="00311FB9" w:rsidRDefault="00C50D7E" w:rsidP="00C50D7E">
            <w:pPr>
              <w:pStyle w:val="TableParagraph"/>
              <w:spacing w:before="46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NA</w:t>
            </w:r>
          </w:p>
        </w:tc>
      </w:tr>
    </w:tbl>
    <w:p w14:paraId="15712DEC" w14:textId="77777777" w:rsidR="00711A5A" w:rsidRPr="00311FB9" w:rsidRDefault="00711A5A" w:rsidP="00C16E11">
      <w:pPr>
        <w:rPr>
          <w:rFonts w:asciiTheme="minorHAnsi" w:hAnsiTheme="minorHAnsi" w:cstheme="minorHAnsi"/>
          <w:sz w:val="20"/>
          <w:szCs w:val="20"/>
        </w:rPr>
      </w:pPr>
    </w:p>
    <w:sectPr w:rsidR="00711A5A" w:rsidRPr="00311FB9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548"/>
    <w:multiLevelType w:val="hybridMultilevel"/>
    <w:tmpl w:val="4D40DE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687"/>
    <w:multiLevelType w:val="multilevel"/>
    <w:tmpl w:val="52366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E978A3"/>
    <w:multiLevelType w:val="multilevel"/>
    <w:tmpl w:val="CABC226E"/>
    <w:lvl w:ilvl="0">
      <w:start w:val="1"/>
      <w:numFmt w:val="bullet"/>
      <w:lvlText w:val=""/>
      <w:lvlJc w:val="left"/>
      <w:pPr>
        <w:ind w:left="373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"/>
      <w:lvlJc w:val="left"/>
      <w:pPr>
        <w:ind w:left="9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ind w:left="146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01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56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10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0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751" w:hanging="360"/>
      </w:pPr>
      <w:rPr>
        <w:rFonts w:ascii="Symbol" w:hAnsi="Symbol" w:cs="Symbol" w:hint="default"/>
      </w:rPr>
    </w:lvl>
  </w:abstractNum>
  <w:abstractNum w:abstractNumId="3" w15:restartNumberingAfterBreak="0">
    <w:nsid w:val="26C812F4"/>
    <w:multiLevelType w:val="hybridMultilevel"/>
    <w:tmpl w:val="5B9A7A5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63C98"/>
    <w:multiLevelType w:val="hybridMultilevel"/>
    <w:tmpl w:val="AA8AEA10"/>
    <w:lvl w:ilvl="0" w:tplc="4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364002E8"/>
    <w:multiLevelType w:val="hybridMultilevel"/>
    <w:tmpl w:val="D538848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3E5B"/>
    <w:multiLevelType w:val="hybridMultilevel"/>
    <w:tmpl w:val="4802CEF2"/>
    <w:lvl w:ilvl="0" w:tplc="AFA274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74F3"/>
    <w:multiLevelType w:val="multilevel"/>
    <w:tmpl w:val="B8529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25922"/>
    <w:multiLevelType w:val="hybridMultilevel"/>
    <w:tmpl w:val="326258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2156"/>
    <w:multiLevelType w:val="hybridMultilevel"/>
    <w:tmpl w:val="35848FA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539B8"/>
    <w:multiLevelType w:val="hybridMultilevel"/>
    <w:tmpl w:val="52E81B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03DB6"/>
    <w:multiLevelType w:val="hybridMultilevel"/>
    <w:tmpl w:val="CAE67BA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91C95"/>
    <w:multiLevelType w:val="hybridMultilevel"/>
    <w:tmpl w:val="A2A04EF8"/>
    <w:lvl w:ilvl="0" w:tplc="B81A6A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6141">
    <w:abstractNumId w:val="7"/>
  </w:num>
  <w:num w:numId="2" w16cid:durableId="676660226">
    <w:abstractNumId w:val="1"/>
  </w:num>
  <w:num w:numId="3" w16cid:durableId="487325857">
    <w:abstractNumId w:val="2"/>
  </w:num>
  <w:num w:numId="4" w16cid:durableId="1627127849">
    <w:abstractNumId w:val="9"/>
  </w:num>
  <w:num w:numId="5" w16cid:durableId="710113880">
    <w:abstractNumId w:val="12"/>
  </w:num>
  <w:num w:numId="6" w16cid:durableId="1299653118">
    <w:abstractNumId w:val="6"/>
  </w:num>
  <w:num w:numId="7" w16cid:durableId="5527521">
    <w:abstractNumId w:val="4"/>
  </w:num>
  <w:num w:numId="8" w16cid:durableId="1750424123">
    <w:abstractNumId w:val="10"/>
  </w:num>
  <w:num w:numId="9" w16cid:durableId="932667899">
    <w:abstractNumId w:val="8"/>
  </w:num>
  <w:num w:numId="10" w16cid:durableId="2108651005">
    <w:abstractNumId w:val="3"/>
  </w:num>
  <w:num w:numId="11" w16cid:durableId="697004413">
    <w:abstractNumId w:val="0"/>
  </w:num>
  <w:num w:numId="12" w16cid:durableId="689260951">
    <w:abstractNumId w:val="5"/>
  </w:num>
  <w:num w:numId="13" w16cid:durableId="27814569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5A"/>
    <w:rsid w:val="00000BEA"/>
    <w:rsid w:val="0003091E"/>
    <w:rsid w:val="00035A84"/>
    <w:rsid w:val="000451E1"/>
    <w:rsid w:val="00062CEE"/>
    <w:rsid w:val="00062EA3"/>
    <w:rsid w:val="000635AC"/>
    <w:rsid w:val="00065DA9"/>
    <w:rsid w:val="0006747E"/>
    <w:rsid w:val="000748D2"/>
    <w:rsid w:val="00082B00"/>
    <w:rsid w:val="000B2E12"/>
    <w:rsid w:val="000D03DC"/>
    <w:rsid w:val="000D47DC"/>
    <w:rsid w:val="000E2A1C"/>
    <w:rsid w:val="001015B7"/>
    <w:rsid w:val="00102547"/>
    <w:rsid w:val="0010333F"/>
    <w:rsid w:val="001036F6"/>
    <w:rsid w:val="00105872"/>
    <w:rsid w:val="00121AE5"/>
    <w:rsid w:val="00134076"/>
    <w:rsid w:val="0014705B"/>
    <w:rsid w:val="00150052"/>
    <w:rsid w:val="00153C21"/>
    <w:rsid w:val="0016206E"/>
    <w:rsid w:val="00180683"/>
    <w:rsid w:val="00186A14"/>
    <w:rsid w:val="001A39C8"/>
    <w:rsid w:val="001B0C81"/>
    <w:rsid w:val="001D0572"/>
    <w:rsid w:val="001E1E1C"/>
    <w:rsid w:val="001E55B0"/>
    <w:rsid w:val="001F4F04"/>
    <w:rsid w:val="001F61C4"/>
    <w:rsid w:val="002278D5"/>
    <w:rsid w:val="0023242E"/>
    <w:rsid w:val="0023478A"/>
    <w:rsid w:val="00245CB2"/>
    <w:rsid w:val="00252A67"/>
    <w:rsid w:val="00264E92"/>
    <w:rsid w:val="00275A06"/>
    <w:rsid w:val="002765DE"/>
    <w:rsid w:val="00276EBE"/>
    <w:rsid w:val="00280B29"/>
    <w:rsid w:val="002834F1"/>
    <w:rsid w:val="00284593"/>
    <w:rsid w:val="00285DBD"/>
    <w:rsid w:val="002B4FB9"/>
    <w:rsid w:val="002C789A"/>
    <w:rsid w:val="00300823"/>
    <w:rsid w:val="003050A5"/>
    <w:rsid w:val="00305766"/>
    <w:rsid w:val="00311FB9"/>
    <w:rsid w:val="003172CB"/>
    <w:rsid w:val="00317C6D"/>
    <w:rsid w:val="00321961"/>
    <w:rsid w:val="00332DFE"/>
    <w:rsid w:val="0033365D"/>
    <w:rsid w:val="003524D6"/>
    <w:rsid w:val="0036022C"/>
    <w:rsid w:val="00366BCE"/>
    <w:rsid w:val="0037529A"/>
    <w:rsid w:val="00377088"/>
    <w:rsid w:val="00384A9B"/>
    <w:rsid w:val="003902FC"/>
    <w:rsid w:val="003A4BB7"/>
    <w:rsid w:val="003D2B83"/>
    <w:rsid w:val="003D3E9D"/>
    <w:rsid w:val="003D5944"/>
    <w:rsid w:val="003E24F4"/>
    <w:rsid w:val="003E2D7D"/>
    <w:rsid w:val="003E44F5"/>
    <w:rsid w:val="003E5D28"/>
    <w:rsid w:val="003F08B5"/>
    <w:rsid w:val="003F3E41"/>
    <w:rsid w:val="00403977"/>
    <w:rsid w:val="00404563"/>
    <w:rsid w:val="00405B22"/>
    <w:rsid w:val="0041637F"/>
    <w:rsid w:val="00423B16"/>
    <w:rsid w:val="00425898"/>
    <w:rsid w:val="004277A9"/>
    <w:rsid w:val="0043342F"/>
    <w:rsid w:val="00440005"/>
    <w:rsid w:val="00451317"/>
    <w:rsid w:val="004532B2"/>
    <w:rsid w:val="0045382F"/>
    <w:rsid w:val="0046771A"/>
    <w:rsid w:val="004726A5"/>
    <w:rsid w:val="004902D7"/>
    <w:rsid w:val="00495771"/>
    <w:rsid w:val="00497876"/>
    <w:rsid w:val="004A0D0B"/>
    <w:rsid w:val="004A2963"/>
    <w:rsid w:val="004A7D8A"/>
    <w:rsid w:val="004B0436"/>
    <w:rsid w:val="004C2A30"/>
    <w:rsid w:val="004C6BBF"/>
    <w:rsid w:val="004D58EB"/>
    <w:rsid w:val="004F1009"/>
    <w:rsid w:val="004F5579"/>
    <w:rsid w:val="005033A5"/>
    <w:rsid w:val="00514A2C"/>
    <w:rsid w:val="00517F5B"/>
    <w:rsid w:val="005405DC"/>
    <w:rsid w:val="005415A9"/>
    <w:rsid w:val="005465AB"/>
    <w:rsid w:val="00573CA2"/>
    <w:rsid w:val="00576F92"/>
    <w:rsid w:val="00591287"/>
    <w:rsid w:val="00597873"/>
    <w:rsid w:val="005B0B13"/>
    <w:rsid w:val="005B3254"/>
    <w:rsid w:val="005C2843"/>
    <w:rsid w:val="005C65AB"/>
    <w:rsid w:val="005D4BEB"/>
    <w:rsid w:val="005E3562"/>
    <w:rsid w:val="005F7D24"/>
    <w:rsid w:val="006052CB"/>
    <w:rsid w:val="00611EAE"/>
    <w:rsid w:val="00613668"/>
    <w:rsid w:val="006145EA"/>
    <w:rsid w:val="00623FA5"/>
    <w:rsid w:val="00635D3E"/>
    <w:rsid w:val="00636504"/>
    <w:rsid w:val="0066086E"/>
    <w:rsid w:val="00676373"/>
    <w:rsid w:val="006912EC"/>
    <w:rsid w:val="006919CC"/>
    <w:rsid w:val="006A2930"/>
    <w:rsid w:val="006B08D9"/>
    <w:rsid w:val="006B7EE4"/>
    <w:rsid w:val="006D2F00"/>
    <w:rsid w:val="006D5FD9"/>
    <w:rsid w:val="006E2325"/>
    <w:rsid w:val="006F20F8"/>
    <w:rsid w:val="006F49F2"/>
    <w:rsid w:val="00711A5A"/>
    <w:rsid w:val="00721D78"/>
    <w:rsid w:val="0073232D"/>
    <w:rsid w:val="007361BE"/>
    <w:rsid w:val="00752B34"/>
    <w:rsid w:val="00771A91"/>
    <w:rsid w:val="00777374"/>
    <w:rsid w:val="007834FD"/>
    <w:rsid w:val="00792327"/>
    <w:rsid w:val="0079349F"/>
    <w:rsid w:val="007A6F3A"/>
    <w:rsid w:val="007B01CB"/>
    <w:rsid w:val="007C54CC"/>
    <w:rsid w:val="007C6D7F"/>
    <w:rsid w:val="007D160B"/>
    <w:rsid w:val="007D4B89"/>
    <w:rsid w:val="007D5E24"/>
    <w:rsid w:val="007D72C3"/>
    <w:rsid w:val="007E4DF1"/>
    <w:rsid w:val="007E6D63"/>
    <w:rsid w:val="00805A23"/>
    <w:rsid w:val="0081667A"/>
    <w:rsid w:val="008255B8"/>
    <w:rsid w:val="0082707B"/>
    <w:rsid w:val="00837EE7"/>
    <w:rsid w:val="00843D1E"/>
    <w:rsid w:val="00850365"/>
    <w:rsid w:val="00873107"/>
    <w:rsid w:val="00873FEE"/>
    <w:rsid w:val="00883A9E"/>
    <w:rsid w:val="008853C1"/>
    <w:rsid w:val="00890498"/>
    <w:rsid w:val="00895522"/>
    <w:rsid w:val="0089626F"/>
    <w:rsid w:val="008A15F2"/>
    <w:rsid w:val="008A2933"/>
    <w:rsid w:val="008A72F9"/>
    <w:rsid w:val="008C3114"/>
    <w:rsid w:val="008C6AB7"/>
    <w:rsid w:val="008D5359"/>
    <w:rsid w:val="008D79E4"/>
    <w:rsid w:val="009004AC"/>
    <w:rsid w:val="0092145E"/>
    <w:rsid w:val="00926CAA"/>
    <w:rsid w:val="009301C6"/>
    <w:rsid w:val="00930F8D"/>
    <w:rsid w:val="009366E6"/>
    <w:rsid w:val="00945E05"/>
    <w:rsid w:val="0095005B"/>
    <w:rsid w:val="00950AE0"/>
    <w:rsid w:val="00952660"/>
    <w:rsid w:val="00960DC4"/>
    <w:rsid w:val="009625A0"/>
    <w:rsid w:val="00963442"/>
    <w:rsid w:val="00986374"/>
    <w:rsid w:val="00987C59"/>
    <w:rsid w:val="00992C88"/>
    <w:rsid w:val="009C2D27"/>
    <w:rsid w:val="009C496E"/>
    <w:rsid w:val="009C685A"/>
    <w:rsid w:val="009C73BE"/>
    <w:rsid w:val="009C7B59"/>
    <w:rsid w:val="009D4008"/>
    <w:rsid w:val="009E1E5B"/>
    <w:rsid w:val="009E742A"/>
    <w:rsid w:val="00A00D5D"/>
    <w:rsid w:val="00A22FFB"/>
    <w:rsid w:val="00A5052B"/>
    <w:rsid w:val="00A57EBF"/>
    <w:rsid w:val="00A60BFF"/>
    <w:rsid w:val="00A76A74"/>
    <w:rsid w:val="00A76F5C"/>
    <w:rsid w:val="00AA5E53"/>
    <w:rsid w:val="00AA780F"/>
    <w:rsid w:val="00AB4068"/>
    <w:rsid w:val="00AC0715"/>
    <w:rsid w:val="00AC25FC"/>
    <w:rsid w:val="00AC5072"/>
    <w:rsid w:val="00AE7348"/>
    <w:rsid w:val="00B10344"/>
    <w:rsid w:val="00B10C22"/>
    <w:rsid w:val="00B207E5"/>
    <w:rsid w:val="00B2466E"/>
    <w:rsid w:val="00B37841"/>
    <w:rsid w:val="00B75BA3"/>
    <w:rsid w:val="00B83171"/>
    <w:rsid w:val="00B90D1D"/>
    <w:rsid w:val="00B96088"/>
    <w:rsid w:val="00BB0C2F"/>
    <w:rsid w:val="00BB2495"/>
    <w:rsid w:val="00BC1D26"/>
    <w:rsid w:val="00BC3D9C"/>
    <w:rsid w:val="00BD7160"/>
    <w:rsid w:val="00BF2CCC"/>
    <w:rsid w:val="00C046B2"/>
    <w:rsid w:val="00C16E11"/>
    <w:rsid w:val="00C20736"/>
    <w:rsid w:val="00C227CD"/>
    <w:rsid w:val="00C336A2"/>
    <w:rsid w:val="00C33F86"/>
    <w:rsid w:val="00C44ECC"/>
    <w:rsid w:val="00C47D41"/>
    <w:rsid w:val="00C50D7E"/>
    <w:rsid w:val="00C543C6"/>
    <w:rsid w:val="00C66F21"/>
    <w:rsid w:val="00C80DD9"/>
    <w:rsid w:val="00C91FF8"/>
    <w:rsid w:val="00C9535A"/>
    <w:rsid w:val="00CC0F6B"/>
    <w:rsid w:val="00CD0ABF"/>
    <w:rsid w:val="00CE40EC"/>
    <w:rsid w:val="00CF5D2C"/>
    <w:rsid w:val="00D26147"/>
    <w:rsid w:val="00D3214D"/>
    <w:rsid w:val="00D546F4"/>
    <w:rsid w:val="00D6486C"/>
    <w:rsid w:val="00D76EAA"/>
    <w:rsid w:val="00D80403"/>
    <w:rsid w:val="00DB0767"/>
    <w:rsid w:val="00DB5073"/>
    <w:rsid w:val="00DC0FB4"/>
    <w:rsid w:val="00DC3EAF"/>
    <w:rsid w:val="00DD56AB"/>
    <w:rsid w:val="00DD6BA0"/>
    <w:rsid w:val="00DE0E22"/>
    <w:rsid w:val="00DF047C"/>
    <w:rsid w:val="00DF5ED3"/>
    <w:rsid w:val="00E025F2"/>
    <w:rsid w:val="00E341FA"/>
    <w:rsid w:val="00E342E0"/>
    <w:rsid w:val="00E51652"/>
    <w:rsid w:val="00E610D1"/>
    <w:rsid w:val="00E65AD5"/>
    <w:rsid w:val="00EA21CC"/>
    <w:rsid w:val="00EB0F15"/>
    <w:rsid w:val="00ED0D41"/>
    <w:rsid w:val="00EE2A14"/>
    <w:rsid w:val="00EF2B77"/>
    <w:rsid w:val="00F01187"/>
    <w:rsid w:val="00F20932"/>
    <w:rsid w:val="00F23DCD"/>
    <w:rsid w:val="00F3045D"/>
    <w:rsid w:val="00F34911"/>
    <w:rsid w:val="00F50747"/>
    <w:rsid w:val="00F70460"/>
    <w:rsid w:val="00F71072"/>
    <w:rsid w:val="00F72738"/>
    <w:rsid w:val="00F84053"/>
    <w:rsid w:val="00F9368A"/>
    <w:rsid w:val="00F9520B"/>
    <w:rsid w:val="00F96B55"/>
    <w:rsid w:val="00FA484D"/>
    <w:rsid w:val="00FA5E88"/>
    <w:rsid w:val="00FA7FEA"/>
    <w:rsid w:val="00FB1633"/>
    <w:rsid w:val="00FD02BC"/>
    <w:rsid w:val="00F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2B806"/>
  <w15:docId w15:val="{E05F9842-BDA4-4098-BF89-59AD881C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Normal"/>
    <w:link w:val="Heading1Char"/>
    <w:uiPriority w:val="9"/>
    <w:qFormat/>
    <w:rsid w:val="007D5E2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6F94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CA6F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040C"/>
    <w:rPr>
      <w:i/>
      <w:iCs/>
    </w:rPr>
  </w:style>
  <w:style w:type="character" w:customStyle="1" w:styleId="apple-converted-space">
    <w:name w:val="apple-converted-space"/>
    <w:basedOn w:val="DefaultParagraphFont"/>
    <w:rsid w:val="00022A92"/>
  </w:style>
  <w:style w:type="character" w:customStyle="1" w:styleId="ListLabel1">
    <w:name w:val="ListLabel 1"/>
    <w:rPr>
      <w:rFonts w:eastAsia="Symbol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ableParagraph">
    <w:name w:val="Table Paragraph"/>
    <w:basedOn w:val="Normal"/>
    <w:uiPriority w:val="1"/>
    <w:qFormat/>
    <w:rsid w:val="00D825B1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A6F94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A6F94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91124"/>
    <w:pPr>
      <w:suppressAutoHyphens/>
      <w:spacing w:line="240" w:lineRule="auto"/>
    </w:pPr>
  </w:style>
  <w:style w:type="table" w:styleId="TableGrid">
    <w:name w:val="Table Grid"/>
    <w:basedOn w:val="TableNormal"/>
    <w:uiPriority w:val="59"/>
    <w:rsid w:val="00D825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23FA5"/>
    <w:pPr>
      <w:widowControl w:val="0"/>
      <w:suppressLineNumbers/>
      <w:autoSpaceDN w:val="0"/>
      <w:spacing w:after="0"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B7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072"/>
    <w:rPr>
      <w:color w:val="605E5C"/>
      <w:shd w:val="clear" w:color="auto" w:fill="E1DFDD"/>
    </w:rPr>
  </w:style>
  <w:style w:type="character" w:customStyle="1" w:styleId="personname">
    <w:name w:val="person_name"/>
    <w:basedOn w:val="DefaultParagraphFont"/>
    <w:rsid w:val="00E51652"/>
  </w:style>
  <w:style w:type="character" w:customStyle="1" w:styleId="il">
    <w:name w:val="il"/>
    <w:basedOn w:val="DefaultParagraphFont"/>
    <w:rsid w:val="00792327"/>
  </w:style>
  <w:style w:type="character" w:customStyle="1" w:styleId="Heading1Char">
    <w:name w:val="Heading 1 Char"/>
    <w:basedOn w:val="DefaultParagraphFont"/>
    <w:link w:val="Heading1"/>
    <w:uiPriority w:val="9"/>
    <w:rsid w:val="007D5E24"/>
    <w:rPr>
      <w:rFonts w:ascii="Times New Roman" w:eastAsia="Times New Roman" w:hAnsi="Times New Roman"/>
      <w:b/>
      <w:bCs/>
      <w:kern w:val="36"/>
      <w:sz w:val="48"/>
      <w:szCs w:val="48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hpopen.2021.100032" TargetMode="External"/><Relationship Id="rId13" Type="http://schemas.openxmlformats.org/officeDocument/2006/relationships/hyperlink" Target="https://doi.org/10.1177/17457904135169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16/j.vhri.2022.02.003" TargetMode="External"/><Relationship Id="rId12" Type="http://schemas.openxmlformats.org/officeDocument/2006/relationships/hyperlink" Target="https://doi.org/10.1016/j.jval.2016.03.13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47836/mjmhs.19.4.17" TargetMode="External"/><Relationship Id="rId11" Type="http://schemas.openxmlformats.org/officeDocument/2006/relationships/hyperlink" Target="https://doi.org/10.1001/jamaneurol.2017.46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13696998.2018.1560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010539520920526" TargetMode="External"/><Relationship Id="rId14" Type="http://schemas.openxmlformats.org/officeDocument/2006/relationships/hyperlink" Target="https://doi.org/10.1177/0897190006295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7447-836A-4AD1-A450-1030B8AE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 hasyila</dc:creator>
  <cp:lastModifiedBy>June Choon Choon</cp:lastModifiedBy>
  <cp:revision>167</cp:revision>
  <cp:lastPrinted>2016-11-18T06:01:00Z</cp:lastPrinted>
  <dcterms:created xsi:type="dcterms:W3CDTF">2024-02-23T04:39:00Z</dcterms:created>
  <dcterms:modified xsi:type="dcterms:W3CDTF">2024-04-25T01:08:00Z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4c9fe628df91d6280dcd2930f9637c6d470d113d2cca64693084a82c0c32305f</vt:lpwstr>
  </property>
</Properties>
</file>